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2ED21" w14:textId="77777777" w:rsidR="002525B7" w:rsidRDefault="002525B7" w:rsidP="002525B7">
      <w:pPr>
        <w:keepLines/>
        <w:tabs>
          <w:tab w:val="left" w:pos="-1440"/>
          <w:tab w:val="left" w:pos="-720"/>
          <w:tab w:val="left" w:pos="0"/>
          <w:tab w:val="left" w:pos="720"/>
          <w:tab w:val="left" w:pos="1440"/>
          <w:tab w:val="left" w:pos="2160"/>
          <w:tab w:val="left" w:pos="2880"/>
          <w:tab w:val="left" w:pos="3600"/>
          <w:tab w:val="left" w:pos="4770"/>
          <w:tab w:val="left" w:pos="5040"/>
        </w:tabs>
        <w:suppressAutoHyphens/>
        <w:jc w:val="center"/>
        <w:rPr>
          <w:rFonts w:ascii="Arial" w:hAnsi="Arial"/>
          <w:b/>
          <w:spacing w:val="-3"/>
          <w:szCs w:val="24"/>
          <w:u w:val="single"/>
        </w:rPr>
      </w:pPr>
      <w:r>
        <w:rPr>
          <w:rFonts w:ascii="Arial" w:hAnsi="Arial"/>
          <w:b/>
          <w:spacing w:val="-3"/>
          <w:szCs w:val="24"/>
          <w:u w:val="single"/>
        </w:rPr>
        <w:t>EXHIBIT C</w:t>
      </w:r>
    </w:p>
    <w:p w14:paraId="1E0FDCD0" w14:textId="77777777" w:rsidR="002525B7" w:rsidRPr="00144AA9" w:rsidRDefault="002525B7" w:rsidP="002525B7">
      <w:pPr>
        <w:keepLines/>
        <w:tabs>
          <w:tab w:val="left" w:pos="-1440"/>
          <w:tab w:val="left" w:pos="-720"/>
          <w:tab w:val="left" w:pos="0"/>
          <w:tab w:val="left" w:pos="720"/>
          <w:tab w:val="left" w:pos="1440"/>
          <w:tab w:val="left" w:pos="2160"/>
          <w:tab w:val="left" w:pos="2880"/>
          <w:tab w:val="left" w:pos="3600"/>
          <w:tab w:val="left" w:pos="4770"/>
          <w:tab w:val="left" w:pos="5040"/>
        </w:tabs>
        <w:suppressAutoHyphens/>
        <w:jc w:val="center"/>
        <w:rPr>
          <w:rFonts w:ascii="Arial" w:hAnsi="Arial"/>
          <w:b/>
          <w:spacing w:val="-3"/>
          <w:szCs w:val="24"/>
          <w:u w:val="single"/>
        </w:rPr>
      </w:pPr>
      <w:r w:rsidRPr="00144AA9">
        <w:rPr>
          <w:rFonts w:ascii="Arial" w:hAnsi="Arial"/>
          <w:b/>
          <w:spacing w:val="-3"/>
          <w:szCs w:val="24"/>
          <w:u w:val="single"/>
        </w:rPr>
        <w:t xml:space="preserve">INSURANCE REQUIREMENTS FOR CONSULTANTS </w:t>
      </w:r>
    </w:p>
    <w:p w14:paraId="6196D886" w14:textId="77777777" w:rsidR="002525B7" w:rsidRPr="00144AA9" w:rsidRDefault="002525B7" w:rsidP="002525B7">
      <w:pPr>
        <w:keepLines/>
        <w:tabs>
          <w:tab w:val="left" w:pos="-1440"/>
          <w:tab w:val="left" w:pos="-720"/>
          <w:tab w:val="left" w:pos="0"/>
          <w:tab w:val="left" w:pos="720"/>
          <w:tab w:val="left" w:pos="1440"/>
          <w:tab w:val="left" w:pos="2160"/>
          <w:tab w:val="left" w:pos="2880"/>
          <w:tab w:val="left" w:pos="3600"/>
          <w:tab w:val="left" w:pos="4770"/>
          <w:tab w:val="left" w:pos="5040"/>
        </w:tabs>
        <w:suppressAutoHyphens/>
        <w:jc w:val="center"/>
        <w:rPr>
          <w:rFonts w:ascii="Arial" w:hAnsi="Arial"/>
          <w:bCs/>
          <w:spacing w:val="-3"/>
          <w:szCs w:val="24"/>
        </w:rPr>
      </w:pPr>
      <w:r w:rsidRPr="00144AA9">
        <w:rPr>
          <w:rFonts w:ascii="Arial" w:hAnsi="Arial"/>
          <w:bCs/>
          <w:spacing w:val="-3"/>
          <w:szCs w:val="24"/>
        </w:rPr>
        <w:t>(Cyber/tech optional, not to be used for construction contracts)</w:t>
      </w:r>
    </w:p>
    <w:p w14:paraId="72FD7906" w14:textId="77777777" w:rsidR="002525B7" w:rsidRDefault="002525B7" w:rsidP="002525B7">
      <w:pPr>
        <w:keepLines/>
        <w:tabs>
          <w:tab w:val="left" w:pos="-1440"/>
          <w:tab w:val="left" w:pos="-720"/>
          <w:tab w:val="left" w:pos="0"/>
          <w:tab w:val="left" w:pos="720"/>
          <w:tab w:val="left" w:pos="1440"/>
          <w:tab w:val="left" w:pos="2160"/>
          <w:tab w:val="left" w:pos="2880"/>
          <w:tab w:val="left" w:pos="3600"/>
          <w:tab w:val="left" w:pos="4770"/>
          <w:tab w:val="left" w:pos="5040"/>
        </w:tabs>
        <w:suppressAutoHyphens/>
        <w:jc w:val="center"/>
        <w:rPr>
          <w:rFonts w:ascii="Arial" w:hAnsi="Arial"/>
          <w:b/>
          <w:spacing w:val="-3"/>
          <w:szCs w:val="24"/>
          <w:u w:val="single"/>
        </w:rPr>
      </w:pPr>
    </w:p>
    <w:p w14:paraId="0118CE0D" w14:textId="77777777" w:rsidR="002525B7" w:rsidRDefault="002525B7" w:rsidP="00252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before="120" w:line="227" w:lineRule="exact"/>
        <w:jc w:val="both"/>
        <w:rPr>
          <w:rFonts w:ascii="Arial" w:hAnsi="Arial" w:cs="Arial"/>
        </w:rPr>
      </w:pPr>
    </w:p>
    <w:p w14:paraId="2FA5675F" w14:textId="77777777" w:rsidR="002525B7" w:rsidRPr="00ED7260" w:rsidRDefault="002525B7" w:rsidP="00252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before="120" w:line="227" w:lineRule="exact"/>
        <w:jc w:val="both"/>
        <w:rPr>
          <w:rFonts w:ascii="Arial" w:hAnsi="Arial" w:cs="Arial"/>
        </w:rPr>
      </w:pPr>
      <w:r w:rsidRPr="00ED7260">
        <w:rPr>
          <w:rFonts w:ascii="Arial" w:hAnsi="Arial" w:cs="Arial"/>
        </w:rPr>
        <w:t>Consultant shall procure and maintain for the duration of the contract, insurance against claims for injuries to persons or damages to property which may arise from or in connection with the performance of the work hereunder and the results of that work by the Consultant, its agents, representatives, employees, or subcontractors.</w:t>
      </w:r>
    </w:p>
    <w:p w14:paraId="777B6626" w14:textId="77777777" w:rsidR="002525B7" w:rsidRPr="00ED7260" w:rsidRDefault="002525B7" w:rsidP="00252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before="120" w:line="227" w:lineRule="exact"/>
        <w:jc w:val="both"/>
        <w:rPr>
          <w:rFonts w:ascii="Arial" w:hAnsi="Arial" w:cs="Arial"/>
        </w:rPr>
      </w:pPr>
    </w:p>
    <w:p w14:paraId="540AC5D0" w14:textId="77777777" w:rsidR="002525B7" w:rsidRPr="00ED7260" w:rsidRDefault="002525B7" w:rsidP="00252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before="120" w:line="227" w:lineRule="exact"/>
        <w:jc w:val="both"/>
        <w:rPr>
          <w:rFonts w:ascii="Arial" w:hAnsi="Arial" w:cs="Arial"/>
          <w:b/>
          <w:bCs/>
        </w:rPr>
      </w:pPr>
      <w:r w:rsidRPr="00ED7260">
        <w:rPr>
          <w:rFonts w:ascii="Arial" w:hAnsi="Arial" w:cs="Arial"/>
          <w:b/>
          <w:bCs/>
        </w:rPr>
        <w:t>MINIMUM SCOPE AND LIMIT OF INSURANCE</w:t>
      </w:r>
    </w:p>
    <w:p w14:paraId="3C53A47D" w14:textId="77777777" w:rsidR="002525B7" w:rsidRPr="00ED7260" w:rsidRDefault="002525B7" w:rsidP="00252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before="120" w:line="227" w:lineRule="exact"/>
        <w:jc w:val="both"/>
        <w:rPr>
          <w:rFonts w:ascii="Arial" w:hAnsi="Arial" w:cs="Arial"/>
        </w:rPr>
      </w:pPr>
      <w:r w:rsidRPr="00ED7260">
        <w:rPr>
          <w:rFonts w:ascii="Arial" w:hAnsi="Arial" w:cs="Arial"/>
        </w:rPr>
        <w:t>Coverage shall be at least as broad as:</w:t>
      </w:r>
    </w:p>
    <w:p w14:paraId="6FDA26C6" w14:textId="77777777" w:rsidR="002525B7" w:rsidRPr="00ED7260" w:rsidRDefault="002525B7" w:rsidP="002525B7">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overflowPunct/>
        <w:autoSpaceDE/>
        <w:autoSpaceDN/>
        <w:adjustRightInd/>
        <w:spacing w:before="120" w:line="227" w:lineRule="exact"/>
        <w:contextualSpacing w:val="0"/>
        <w:jc w:val="both"/>
        <w:textAlignment w:val="auto"/>
        <w:rPr>
          <w:rFonts w:ascii="Arial" w:hAnsi="Arial" w:cs="Arial"/>
        </w:rPr>
      </w:pPr>
      <w:r w:rsidRPr="00ED7260">
        <w:rPr>
          <w:rFonts w:ascii="Arial" w:hAnsi="Arial" w:cs="Arial"/>
          <w:b/>
          <w:bCs/>
        </w:rPr>
        <w:t xml:space="preserve">Commercial General Liability (CGL): </w:t>
      </w:r>
      <w:r w:rsidRPr="00ED7260">
        <w:rPr>
          <w:rFonts w:ascii="Arial" w:hAnsi="Arial" w:cs="Arial"/>
        </w:rPr>
        <w:t>Insurance Services Office Form CG 00 01 covering CGL on an “occurrence” basis, including products and completed operations, property damage, bodily injury, and personal and advertising injury with limits no less than $</w:t>
      </w:r>
      <w:r>
        <w:rPr>
          <w:rFonts w:ascii="Arial" w:hAnsi="Arial" w:cs="Arial"/>
        </w:rPr>
        <w:t xml:space="preserve">1,000,000 </w:t>
      </w:r>
      <w:r w:rsidRPr="00ED7260">
        <w:rPr>
          <w:rFonts w:ascii="Arial" w:hAnsi="Arial" w:cs="Arial"/>
        </w:rPr>
        <w:t xml:space="preserve">per occurrence. If a general aggregate limit applies, either the general aggregate limit shall apply separately to this project/location (ISO CG 25 03 or 25 04) or the general aggregate limit shall be twice the required occurrence limit. For consultants interacting with the public or with tenants, coverage must include coverage for discrimination, harassment, and fair housing claims under DFEH and HUD. </w:t>
      </w:r>
    </w:p>
    <w:p w14:paraId="1F0E7231" w14:textId="77777777" w:rsidR="002525B7" w:rsidRPr="00ED7260" w:rsidRDefault="002525B7" w:rsidP="002525B7">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overflowPunct/>
        <w:autoSpaceDE/>
        <w:autoSpaceDN/>
        <w:adjustRightInd/>
        <w:spacing w:before="120" w:line="227" w:lineRule="exact"/>
        <w:contextualSpacing w:val="0"/>
        <w:jc w:val="both"/>
        <w:textAlignment w:val="auto"/>
        <w:rPr>
          <w:rFonts w:ascii="Arial" w:hAnsi="Arial" w:cs="Arial"/>
        </w:rPr>
      </w:pPr>
      <w:r w:rsidRPr="00ED7260">
        <w:rPr>
          <w:rFonts w:ascii="Arial" w:hAnsi="Arial" w:cs="Arial"/>
          <w:b/>
          <w:bCs/>
        </w:rPr>
        <w:t>Automobile Liability:</w:t>
      </w:r>
      <w:r w:rsidRPr="00ED7260">
        <w:rPr>
          <w:rFonts w:ascii="Arial" w:hAnsi="Arial" w:cs="Arial"/>
        </w:rPr>
        <w:t xml:space="preserve"> ISO Form Number CA 00 01 coverage any auto (Code 1), or if Consultant has no owned autos, hired (Code 8) and non-owned autos (Code 9) with limit no less than $</w:t>
      </w:r>
      <w:r>
        <w:rPr>
          <w:rFonts w:ascii="Arial" w:hAnsi="Arial" w:cs="Arial"/>
        </w:rPr>
        <w:t>1</w:t>
      </w:r>
      <w:r w:rsidRPr="00ED7260">
        <w:rPr>
          <w:rFonts w:ascii="Arial" w:hAnsi="Arial" w:cs="Arial"/>
        </w:rPr>
        <w:t xml:space="preserve"> million for bodily injury and property damage.</w:t>
      </w:r>
      <w:r>
        <w:rPr>
          <w:rFonts w:ascii="Arial" w:hAnsi="Arial" w:cs="Arial"/>
        </w:rPr>
        <w:t xml:space="preserve"> This requirement does not apply if no motor vehicles are used in providing services under the contract. </w:t>
      </w:r>
    </w:p>
    <w:p w14:paraId="083F89D0" w14:textId="77777777" w:rsidR="002525B7" w:rsidRDefault="002525B7" w:rsidP="002525B7">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overflowPunct/>
        <w:autoSpaceDE/>
        <w:autoSpaceDN/>
        <w:adjustRightInd/>
        <w:spacing w:before="120" w:line="227" w:lineRule="exact"/>
        <w:contextualSpacing w:val="0"/>
        <w:jc w:val="both"/>
        <w:textAlignment w:val="auto"/>
        <w:rPr>
          <w:rFonts w:ascii="Arial" w:hAnsi="Arial" w:cs="Arial"/>
        </w:rPr>
      </w:pPr>
      <w:r w:rsidRPr="00ED7260">
        <w:rPr>
          <w:rFonts w:ascii="Arial" w:hAnsi="Arial" w:cs="Arial"/>
          <w:b/>
          <w:bCs/>
        </w:rPr>
        <w:t>Workers’ Compensation</w:t>
      </w:r>
      <w:r w:rsidRPr="00ED7260">
        <w:rPr>
          <w:rFonts w:ascii="Arial" w:hAnsi="Arial" w:cs="Arial"/>
        </w:rPr>
        <w:t>, as required by the State of California, with Statutory Limits and Employers’ Liability Insurance with limit of no less than $</w:t>
      </w:r>
      <w:r>
        <w:rPr>
          <w:rFonts w:ascii="Arial" w:hAnsi="Arial" w:cs="Arial"/>
        </w:rPr>
        <w:t>1</w:t>
      </w:r>
      <w:r w:rsidRPr="00ED7260">
        <w:rPr>
          <w:rFonts w:ascii="Arial" w:hAnsi="Arial" w:cs="Arial"/>
        </w:rPr>
        <w:t>,000,000 per accident for bodily injury or disease. This requirement does not apply to sole proprietors.</w:t>
      </w:r>
    </w:p>
    <w:p w14:paraId="08969309" w14:textId="77777777" w:rsidR="002525B7" w:rsidRPr="00C941C8" w:rsidRDefault="002525B7" w:rsidP="002525B7">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overflowPunct/>
        <w:autoSpaceDE/>
        <w:autoSpaceDN/>
        <w:adjustRightInd/>
        <w:spacing w:before="120" w:line="227" w:lineRule="exact"/>
        <w:contextualSpacing w:val="0"/>
        <w:jc w:val="both"/>
        <w:textAlignment w:val="auto"/>
        <w:rPr>
          <w:rFonts w:ascii="Arial" w:hAnsi="Arial" w:cs="Arial"/>
        </w:rPr>
      </w:pPr>
      <w:r w:rsidRPr="00ED7260">
        <w:rPr>
          <w:rFonts w:ascii="Arial" w:hAnsi="Arial" w:cs="Arial"/>
          <w:b/>
          <w:bCs/>
        </w:rPr>
        <w:t>Professional Liability (Errors and Omissions):</w:t>
      </w:r>
      <w:r w:rsidRPr="00ED7260">
        <w:rPr>
          <w:rFonts w:ascii="Arial" w:hAnsi="Arial" w:cs="Arial"/>
        </w:rPr>
        <w:t xml:space="preserve"> Insurance appropriate to the Consultant’s profession, with limit no less than $</w:t>
      </w:r>
      <w:r>
        <w:rPr>
          <w:rFonts w:ascii="Arial" w:hAnsi="Arial" w:cs="Arial"/>
        </w:rPr>
        <w:t>1,000,000</w:t>
      </w:r>
      <w:r w:rsidRPr="00ED7260">
        <w:rPr>
          <w:rFonts w:ascii="Arial" w:hAnsi="Arial" w:cs="Arial"/>
        </w:rPr>
        <w:t xml:space="preserve"> per occurrence or claim, $</w:t>
      </w:r>
      <w:r>
        <w:rPr>
          <w:rFonts w:ascii="Arial" w:hAnsi="Arial" w:cs="Arial"/>
        </w:rPr>
        <w:t>2</w:t>
      </w:r>
      <w:r w:rsidRPr="00ED7260">
        <w:rPr>
          <w:rFonts w:ascii="Arial" w:hAnsi="Arial" w:cs="Arial"/>
        </w:rPr>
        <w:t xml:space="preserve">,000,000 in the aggregate. For consultants interacting with the public or with tenants, coverage must include coverage against discrimination, harassment, and fair housing claims under DFEH and HUD. If cover age is provided on a claims-made basis, the retroactive date must be shown and must be before the date of the contract or the beginning of the contract work; insurance must be maintained, and evidence of coverage must be provided for at least five (5) years after completion of the contract of work. If coverage is cancelled or non-renewed, and not replaced with another claims-made policy form with a retroactive date prior to the contract effective date, the Contractor must purchase “extended reporting” coverage for a minimum of five (5) years after completion of work. </w:t>
      </w:r>
    </w:p>
    <w:p w14:paraId="139362AA" w14:textId="77777777" w:rsidR="002525B7" w:rsidRPr="00C941C8" w:rsidRDefault="002525B7" w:rsidP="002525B7">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overflowPunct/>
        <w:autoSpaceDE/>
        <w:autoSpaceDN/>
        <w:adjustRightInd/>
        <w:spacing w:before="120" w:line="227" w:lineRule="exact"/>
        <w:contextualSpacing w:val="0"/>
        <w:jc w:val="both"/>
        <w:textAlignment w:val="auto"/>
        <w:rPr>
          <w:rFonts w:ascii="Arial" w:hAnsi="Arial" w:cs="Arial"/>
        </w:rPr>
      </w:pPr>
      <w:r w:rsidRPr="00144AA9">
        <w:rPr>
          <w:rFonts w:ascii="Arial" w:hAnsi="Arial" w:cs="Arial"/>
          <w:b/>
          <w:bCs/>
        </w:rPr>
        <w:t>IF APPLICABLE: Cyber Liability Insurance:</w:t>
      </w:r>
      <w:r>
        <w:rPr>
          <w:rFonts w:ascii="Arial" w:hAnsi="Arial" w:cs="Arial"/>
          <w:b/>
          <w:bCs/>
        </w:rPr>
        <w:t xml:space="preserve"> </w:t>
      </w:r>
      <w:r>
        <w:rPr>
          <w:rFonts w:ascii="Arial" w:hAnsi="Arial" w:cs="Arial"/>
        </w:rPr>
        <w:t xml:space="preserve">Coverage is required if the vendor/consultant is accessing, collecting, storing, or transferring Personally identifiable Information or medical information on staff, tenant, applicants etc.). </w:t>
      </w:r>
      <w:r w:rsidRPr="001A4A3E">
        <w:rPr>
          <w:rFonts w:ascii="Arial" w:hAnsi="Arial" w:cs="Arial"/>
        </w:rPr>
        <w:t xml:space="preserve"> Coverage shall be sufficiently broad to respond to the duties and obligations as is undertaken by Vendor in this agreement and shall include, but not be limited to, claims involving security breach, system failure, data recovery, business interruption, cyber extortion, social engineering, infringement of intellectual property, including but not limited to infringement of copyright, trademark, trade </w:t>
      </w:r>
      <w:r w:rsidRPr="001A4A3E">
        <w:rPr>
          <w:rFonts w:ascii="Arial" w:hAnsi="Arial" w:cs="Arial"/>
        </w:rPr>
        <w:lastRenderedPageBreak/>
        <w:t>dress, invasion of privacy violations, information theft, damage to or destruction of electronic information, release of private information, and alteration of electronic information. The policy shall provide coverage for breach response costs, regulatory fines, and penalties as well as credit monitoring expenses</w:t>
      </w:r>
      <w:r w:rsidRPr="0064287F">
        <w:rPr>
          <w:rFonts w:ascii="Arial" w:hAnsi="Arial" w:cs="Arial"/>
        </w:rPr>
        <w:t xml:space="preserve"> with limits not less than $</w:t>
      </w:r>
      <w:r>
        <w:rPr>
          <w:rFonts w:ascii="Arial" w:hAnsi="Arial" w:cs="Arial"/>
        </w:rPr>
        <w:t>1</w:t>
      </w:r>
      <w:r w:rsidRPr="0064287F">
        <w:rPr>
          <w:rFonts w:ascii="Arial" w:hAnsi="Arial" w:cs="Arial"/>
        </w:rPr>
        <w:t>,000,000 per occurrence or claim, $</w:t>
      </w:r>
      <w:r>
        <w:rPr>
          <w:rFonts w:ascii="Arial" w:hAnsi="Arial" w:cs="Arial"/>
        </w:rPr>
        <w:t>2</w:t>
      </w:r>
      <w:r w:rsidRPr="0064287F">
        <w:rPr>
          <w:rFonts w:ascii="Arial" w:hAnsi="Arial" w:cs="Arial"/>
        </w:rPr>
        <w:t>,000,000 aggregate.</w:t>
      </w:r>
      <w:r>
        <w:rPr>
          <w:rFonts w:ascii="Arial" w:hAnsi="Arial" w:cs="Arial"/>
        </w:rPr>
        <w:t xml:space="preserve"> This requirement does not apply if the consultant will not be accessing or storing AHA data subject to privacy regulations under Federal or state law, including but not limited to PII, PCI, and PHI, providing software, or accessing AHA information technology systems.</w:t>
      </w:r>
    </w:p>
    <w:p w14:paraId="183CD58C" w14:textId="77777777" w:rsidR="002525B7" w:rsidRDefault="002525B7" w:rsidP="00252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before="120" w:line="227" w:lineRule="exact"/>
        <w:jc w:val="both"/>
        <w:rPr>
          <w:rFonts w:ascii="Arial" w:hAnsi="Arial" w:cs="Arial"/>
        </w:rPr>
      </w:pPr>
      <w:bookmarkStart w:id="0" w:name="_Hlk73708593"/>
    </w:p>
    <w:p w14:paraId="70D921C4" w14:textId="77777777" w:rsidR="002525B7" w:rsidRDefault="002525B7" w:rsidP="002525B7">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overflowPunct/>
        <w:autoSpaceDE/>
        <w:autoSpaceDN/>
        <w:adjustRightInd/>
        <w:spacing w:before="120" w:line="227" w:lineRule="exact"/>
        <w:contextualSpacing w:val="0"/>
        <w:jc w:val="both"/>
        <w:textAlignment w:val="auto"/>
        <w:rPr>
          <w:rFonts w:ascii="Arial" w:hAnsi="Arial" w:cs="Arial"/>
        </w:rPr>
      </w:pPr>
      <w:r w:rsidRPr="00144AA9">
        <w:rPr>
          <w:rFonts w:ascii="Arial" w:hAnsi="Arial" w:cs="Arial"/>
          <w:b/>
          <w:bCs/>
        </w:rPr>
        <w:t xml:space="preserve">IF APPLICABLE: Technology Professional Liability:  </w:t>
      </w:r>
      <w:r w:rsidRPr="00144AA9">
        <w:rPr>
          <w:rFonts w:ascii="Arial" w:hAnsi="Arial" w:cs="Arial"/>
        </w:rPr>
        <w:t xml:space="preserve">Coverage is required if the vendor/consultant is providing software or </w:t>
      </w:r>
      <w:proofErr w:type="gramStart"/>
      <w:r w:rsidRPr="00144AA9">
        <w:rPr>
          <w:rFonts w:ascii="Arial" w:hAnsi="Arial" w:cs="Arial"/>
        </w:rPr>
        <w:t>a technology</w:t>
      </w:r>
      <w:proofErr w:type="gramEnd"/>
      <w:r w:rsidRPr="00144AA9">
        <w:rPr>
          <w:rFonts w:ascii="Arial" w:hAnsi="Arial" w:cs="Arial"/>
        </w:rPr>
        <w:t xml:space="preserve"> services (data storage, website design, etc.). Coverage shall</w:t>
      </w:r>
      <w:r w:rsidRPr="00DB4CFB">
        <w:rPr>
          <w:rFonts w:ascii="Arial" w:hAnsi="Arial" w:cs="Arial"/>
        </w:rPr>
        <w:t xml:space="preserve"> be sufficiently broad to respond to the duties and obligations as is undertaken by Consultant in this agreement and shall include, but not be limited to, claims involving media liability and infringement of intellectual property, including but not limited to infringement of copyright, trademark, trade dress, security and privacy liability that include invasion of privacy violations, information theft, damage to or destruction of electronic information, release of private information, alteration of electronic information, extortion and network security. The policy shall provide coverage for breach response costs as well as regulatory fines and penalties as well as credit monitoring expenses with limits sufficient to respond to these obligations. </w:t>
      </w:r>
      <w:r>
        <w:rPr>
          <w:rFonts w:ascii="Arial" w:hAnsi="Arial" w:cs="Arial"/>
        </w:rPr>
        <w:t>L</w:t>
      </w:r>
      <w:r w:rsidRPr="003703CD">
        <w:rPr>
          <w:rFonts w:ascii="Arial" w:hAnsi="Arial" w:cs="Arial"/>
        </w:rPr>
        <w:t>imit</w:t>
      </w:r>
      <w:r>
        <w:rPr>
          <w:rFonts w:ascii="Arial" w:hAnsi="Arial" w:cs="Arial"/>
        </w:rPr>
        <w:t>s</w:t>
      </w:r>
      <w:r w:rsidRPr="003703CD">
        <w:rPr>
          <w:rFonts w:ascii="Arial" w:hAnsi="Arial" w:cs="Arial"/>
        </w:rPr>
        <w:t xml:space="preserve"> no less than $</w:t>
      </w:r>
      <w:r>
        <w:rPr>
          <w:rFonts w:ascii="Arial" w:hAnsi="Arial" w:cs="Arial"/>
        </w:rPr>
        <w:t>2,000,000</w:t>
      </w:r>
      <w:r w:rsidRPr="003703CD">
        <w:rPr>
          <w:rFonts w:ascii="Arial" w:hAnsi="Arial" w:cs="Arial"/>
        </w:rPr>
        <w:t xml:space="preserve"> per occurrence or claim, $</w:t>
      </w:r>
      <w:r>
        <w:rPr>
          <w:rFonts w:ascii="Arial" w:hAnsi="Arial" w:cs="Arial"/>
        </w:rPr>
        <w:t>4</w:t>
      </w:r>
      <w:r w:rsidRPr="003703CD">
        <w:rPr>
          <w:rFonts w:ascii="Arial" w:hAnsi="Arial" w:cs="Arial"/>
        </w:rPr>
        <w:t>,000,000</w:t>
      </w:r>
      <w:r>
        <w:rPr>
          <w:rFonts w:ascii="Arial" w:hAnsi="Arial" w:cs="Arial"/>
        </w:rPr>
        <w:t xml:space="preserve"> in the aggregate</w:t>
      </w:r>
      <w:r w:rsidRPr="003703CD">
        <w:rPr>
          <w:rFonts w:ascii="Arial" w:hAnsi="Arial" w:cs="Arial"/>
        </w:rPr>
        <w:t>.</w:t>
      </w:r>
      <w:r w:rsidRPr="00237AC6">
        <w:rPr>
          <w:rFonts w:ascii="Arial" w:hAnsi="Arial" w:cs="Arial"/>
        </w:rPr>
        <w:t xml:space="preserve"> </w:t>
      </w:r>
      <w:r>
        <w:rPr>
          <w:rFonts w:ascii="Arial" w:hAnsi="Arial" w:cs="Arial"/>
        </w:rPr>
        <w:t>For consultants interacting with the public or with tenants, coverage must include coverage against discrimination, harassment, and fair housing claims under DFEH and HUD.</w:t>
      </w:r>
      <w:r w:rsidRPr="003703CD">
        <w:rPr>
          <w:rFonts w:ascii="Arial" w:hAnsi="Arial" w:cs="Arial"/>
        </w:rPr>
        <w:t xml:space="preserve"> If coverage is provided on a claims-made basis, the retroactive date must be shown and must be before the date of the contract or the beginning of the contract work; insurance must be maintained, and evidence of coverage must be provided for at least five (5) years after completion of the contract of work. I</w:t>
      </w:r>
      <w:r>
        <w:rPr>
          <w:rFonts w:ascii="Arial" w:hAnsi="Arial" w:cs="Arial"/>
        </w:rPr>
        <w:t>f</w:t>
      </w:r>
      <w:r w:rsidRPr="003703CD">
        <w:rPr>
          <w:rFonts w:ascii="Arial" w:hAnsi="Arial" w:cs="Arial"/>
        </w:rPr>
        <w:t xml:space="preserve"> coverage is cancelled or non-renewed, and not replaced with another claims-made policy form with a retroactive date prior to the contract effective date, the Contractor must purchase “extended reporting” coverage for a minimum of five (5) years after completion of work. </w:t>
      </w:r>
    </w:p>
    <w:p w14:paraId="54F14819" w14:textId="77777777" w:rsidR="002525B7" w:rsidRPr="00D47B42" w:rsidRDefault="002525B7" w:rsidP="002525B7">
      <w:pPr>
        <w:pStyle w:val="ListParagraph"/>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overflowPunct/>
        <w:autoSpaceDE/>
        <w:autoSpaceDN/>
        <w:adjustRightInd/>
        <w:spacing w:before="120" w:line="227" w:lineRule="exact"/>
        <w:contextualSpacing w:val="0"/>
        <w:jc w:val="both"/>
        <w:textAlignment w:val="auto"/>
        <w:rPr>
          <w:rFonts w:ascii="Arial" w:hAnsi="Arial" w:cs="Arial"/>
        </w:rPr>
      </w:pPr>
      <w:r w:rsidRPr="002031E0">
        <w:rPr>
          <w:rFonts w:ascii="Arial" w:hAnsi="Arial" w:cs="Arial"/>
        </w:rPr>
        <w:t>The Policy shall include or be endorsed to include property damage liability coverage for damage to, alteration of, loss of, or destruction of the electronic data and/or information “property” of the AHA in the care, custody, or control of the Consultant. If not covered under the Consultant’s liability policy, such “property coverage of the AHA may be endorsed onto the Consultants Cyber Liability Policy as follows:</w:t>
      </w:r>
    </w:p>
    <w:p w14:paraId="4767D680" w14:textId="77777777" w:rsidR="002525B7" w:rsidRPr="001B7A38" w:rsidRDefault="002525B7" w:rsidP="002525B7">
      <w:pPr>
        <w:pStyle w:val="ListParagraph"/>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overflowPunct/>
        <w:autoSpaceDE/>
        <w:autoSpaceDN/>
        <w:adjustRightInd/>
        <w:spacing w:before="120" w:line="227" w:lineRule="exact"/>
        <w:contextualSpacing w:val="0"/>
        <w:jc w:val="both"/>
        <w:textAlignment w:val="auto"/>
        <w:rPr>
          <w:rFonts w:ascii="Arial" w:hAnsi="Arial" w:cs="Arial"/>
        </w:rPr>
      </w:pPr>
      <w:r w:rsidRPr="002031E0">
        <w:rPr>
          <w:rFonts w:ascii="Arial" w:hAnsi="Arial" w:cs="Arial"/>
        </w:rPr>
        <w:t xml:space="preserve">Cyber Liability coverage in an amount sufficient to cover the full replacement value of damage to, alteration of, loss of, destruction of electronic data and/or information “property” of the AHA that will be in the Care, custody, or control of </w:t>
      </w:r>
      <w:proofErr w:type="gramStart"/>
      <w:r w:rsidRPr="002031E0">
        <w:rPr>
          <w:rFonts w:ascii="Arial" w:hAnsi="Arial" w:cs="Arial"/>
        </w:rPr>
        <w:t>Consultant</w:t>
      </w:r>
      <w:proofErr w:type="gramEnd"/>
      <w:r w:rsidRPr="002031E0">
        <w:rPr>
          <w:rFonts w:ascii="Arial" w:hAnsi="Arial" w:cs="Arial"/>
        </w:rPr>
        <w:t>.</w:t>
      </w:r>
    </w:p>
    <w:p w14:paraId="759CCA28" w14:textId="77777777" w:rsidR="002525B7" w:rsidRPr="00D47B42" w:rsidRDefault="002525B7" w:rsidP="00252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before="120" w:line="227" w:lineRule="exact"/>
        <w:jc w:val="both"/>
        <w:rPr>
          <w:rFonts w:ascii="Arial" w:hAnsi="Arial" w:cs="Arial"/>
        </w:rPr>
      </w:pPr>
      <w:r w:rsidRPr="003703CD">
        <w:rPr>
          <w:rFonts w:ascii="Arial" w:hAnsi="Arial" w:cs="Arial"/>
        </w:rPr>
        <w:t>If the consultant maintains broader coverage and/or higher limits than the minimums shown above, AHA requires and shall be entitled to the broader coverage and/or the higher limits maintained by the consultant</w:t>
      </w:r>
      <w:bookmarkStart w:id="1" w:name="_Hlk74039433"/>
      <w:r>
        <w:rPr>
          <w:rFonts w:ascii="Arial" w:hAnsi="Arial" w:cs="Arial"/>
        </w:rPr>
        <w:t xml:space="preserve">. </w:t>
      </w:r>
      <w:r w:rsidRPr="002031E0">
        <w:rPr>
          <w:rFonts w:ascii="Arial" w:hAnsi="Arial" w:cs="Arial"/>
        </w:rPr>
        <w:t xml:space="preserve">The insurance limits required by AHA are not represented as being sufficient to protect Consultant.  Consultant is advised to consult Consultant's insurance broker to determine adequate coverage for </w:t>
      </w:r>
      <w:proofErr w:type="gramStart"/>
      <w:r w:rsidRPr="002031E0">
        <w:rPr>
          <w:rFonts w:ascii="Arial" w:hAnsi="Arial" w:cs="Arial"/>
        </w:rPr>
        <w:t>Consultant</w:t>
      </w:r>
      <w:proofErr w:type="gramEnd"/>
      <w:r w:rsidRPr="002031E0">
        <w:rPr>
          <w:rFonts w:ascii="Arial" w:hAnsi="Arial" w:cs="Arial"/>
        </w:rPr>
        <w:t>.</w:t>
      </w:r>
    </w:p>
    <w:bookmarkEnd w:id="0"/>
    <w:bookmarkEnd w:id="1"/>
    <w:p w14:paraId="1B0462AF" w14:textId="77777777" w:rsidR="002525B7" w:rsidRPr="00ED7260" w:rsidRDefault="002525B7" w:rsidP="00252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before="120" w:line="227" w:lineRule="exact"/>
        <w:jc w:val="both"/>
        <w:rPr>
          <w:rFonts w:ascii="Arial" w:hAnsi="Arial" w:cs="Arial"/>
          <w:caps/>
        </w:rPr>
      </w:pPr>
    </w:p>
    <w:p w14:paraId="124A9AAF" w14:textId="77777777" w:rsidR="002525B7" w:rsidRPr="00ED7260" w:rsidRDefault="002525B7" w:rsidP="00252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before="120" w:line="227" w:lineRule="exact"/>
        <w:jc w:val="both"/>
        <w:rPr>
          <w:rFonts w:ascii="Arial" w:hAnsi="Arial" w:cs="Arial"/>
          <w:b/>
          <w:bCs/>
        </w:rPr>
      </w:pPr>
      <w:r w:rsidRPr="00ED7260">
        <w:rPr>
          <w:rFonts w:ascii="Arial" w:hAnsi="Arial" w:cs="Arial"/>
          <w:b/>
          <w:bCs/>
          <w:caps/>
        </w:rPr>
        <w:t>Other insurance requirements</w:t>
      </w:r>
      <w:r w:rsidRPr="00ED7260">
        <w:rPr>
          <w:rFonts w:ascii="Arial" w:hAnsi="Arial" w:cs="Arial"/>
          <w:b/>
          <w:bCs/>
        </w:rPr>
        <w:t xml:space="preserve">: </w:t>
      </w:r>
    </w:p>
    <w:p w14:paraId="531CED83" w14:textId="77777777" w:rsidR="002525B7" w:rsidRPr="00ED7260" w:rsidRDefault="002525B7" w:rsidP="00252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before="120" w:line="227" w:lineRule="exact"/>
        <w:jc w:val="both"/>
        <w:rPr>
          <w:rFonts w:ascii="Arial" w:hAnsi="Arial" w:cs="Arial"/>
        </w:rPr>
      </w:pPr>
      <w:r w:rsidRPr="00ED7260">
        <w:rPr>
          <w:rFonts w:ascii="Arial" w:hAnsi="Arial" w:cs="Arial"/>
        </w:rPr>
        <w:t>The insurance policies are to contain, or be endorsed to contain, the following provisions:</w:t>
      </w:r>
    </w:p>
    <w:p w14:paraId="17D08E70" w14:textId="77777777" w:rsidR="002525B7" w:rsidRPr="00ED7260" w:rsidRDefault="002525B7" w:rsidP="002525B7">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overflowPunct/>
        <w:autoSpaceDE/>
        <w:autoSpaceDN/>
        <w:adjustRightInd/>
        <w:spacing w:before="120" w:line="227" w:lineRule="exact"/>
        <w:contextualSpacing w:val="0"/>
        <w:jc w:val="both"/>
        <w:textAlignment w:val="auto"/>
        <w:rPr>
          <w:rFonts w:ascii="Arial" w:hAnsi="Arial" w:cs="Arial"/>
        </w:rPr>
      </w:pPr>
      <w:r w:rsidRPr="00ED7260">
        <w:rPr>
          <w:rFonts w:ascii="Arial" w:hAnsi="Arial" w:cs="Arial"/>
          <w:b/>
          <w:bCs/>
        </w:rPr>
        <w:t>Additional Insured Status:</w:t>
      </w:r>
      <w:r w:rsidRPr="00ED7260">
        <w:rPr>
          <w:rFonts w:ascii="Arial" w:hAnsi="Arial" w:cs="Arial"/>
        </w:rPr>
        <w:t xml:space="preserve"> </w:t>
      </w:r>
      <w:r w:rsidRPr="003703CD">
        <w:rPr>
          <w:rFonts w:ascii="Arial" w:hAnsi="Arial" w:cs="Arial"/>
          <w:b/>
          <w:bCs/>
        </w:rPr>
        <w:t>:</w:t>
      </w:r>
      <w:r w:rsidRPr="003703CD">
        <w:rPr>
          <w:rFonts w:ascii="Arial" w:hAnsi="Arial" w:cs="Arial"/>
        </w:rPr>
        <w:t xml:space="preserve"> </w:t>
      </w:r>
      <w:r w:rsidRPr="00406E01">
        <w:rPr>
          <w:rFonts w:ascii="Arial" w:hAnsi="Arial" w:cs="Arial"/>
        </w:rPr>
        <w:t xml:space="preserve">The Housing Authority of the City of Alameda and its affiliates, Alameda Affordable Housing Corporation and Island City </w:t>
      </w:r>
      <w:r w:rsidRPr="00406E01">
        <w:rPr>
          <w:rFonts w:ascii="Arial" w:hAnsi="Arial" w:cs="Arial"/>
        </w:rPr>
        <w:lastRenderedPageBreak/>
        <w:t xml:space="preserve">Development and its Subsidiaries, and their </w:t>
      </w:r>
      <w:r>
        <w:rPr>
          <w:rFonts w:ascii="Arial" w:hAnsi="Arial" w:cs="Arial"/>
        </w:rPr>
        <w:t>d</w:t>
      </w:r>
      <w:r w:rsidRPr="00406E01">
        <w:rPr>
          <w:rFonts w:ascii="Arial" w:hAnsi="Arial" w:cs="Arial"/>
        </w:rPr>
        <w:t>epartments, their respective directors, officers, Board</w:t>
      </w:r>
      <w:r>
        <w:rPr>
          <w:rFonts w:ascii="Arial" w:hAnsi="Arial" w:cs="Arial"/>
        </w:rPr>
        <w:t>s</w:t>
      </w:r>
      <w:r w:rsidRPr="00406E01">
        <w:rPr>
          <w:rFonts w:ascii="Arial" w:hAnsi="Arial" w:cs="Arial"/>
        </w:rPr>
        <w:t xml:space="preserve"> of Commissioners, employees, designated volunteers, elected or appointed official</w:t>
      </w:r>
      <w:r w:rsidRPr="00B80613">
        <w:rPr>
          <w:rFonts w:ascii="Arial" w:hAnsi="Arial" w:cs="Arial"/>
        </w:rPr>
        <w:t xml:space="preserve">s, </w:t>
      </w:r>
      <w:r>
        <w:rPr>
          <w:rFonts w:ascii="Arial" w:hAnsi="Arial" w:cs="Arial"/>
        </w:rPr>
        <w:t>(</w:t>
      </w:r>
      <w:r w:rsidRPr="00ED7260">
        <w:rPr>
          <w:rFonts w:ascii="Arial" w:hAnsi="Arial" w:cs="Arial"/>
        </w:rPr>
        <w:t>AHA</w:t>
      </w:r>
      <w:r>
        <w:rPr>
          <w:rFonts w:ascii="Arial" w:hAnsi="Arial" w:cs="Arial"/>
        </w:rPr>
        <w:t>)</w:t>
      </w:r>
      <w:r w:rsidRPr="00ED7260">
        <w:rPr>
          <w:rFonts w:ascii="Arial" w:hAnsi="Arial" w:cs="Arial"/>
        </w:rPr>
        <w:t>, are to be covered as additional insured on the CGL policy with respect to liability arising out of work or operations performed by or on behalf of the Consultant including materials, parts, or equipment furnished in connection with such work or operations. General liability coverage can be provided in the form of an endorsement to the Consultant’s insurance (at least as br</w:t>
      </w:r>
      <w:r>
        <w:rPr>
          <w:rFonts w:ascii="Arial" w:hAnsi="Arial" w:cs="Arial"/>
        </w:rPr>
        <w:t>o</w:t>
      </w:r>
      <w:r w:rsidRPr="00ED7260">
        <w:rPr>
          <w:rFonts w:ascii="Arial" w:hAnsi="Arial" w:cs="Arial"/>
        </w:rPr>
        <w:t>ad as ISO Form CG 20 10 11 85 or if not available, through the addition of both CG 20 10, CG20 26, CG 20 33, or CG 20 38; and CG 20 37 if a later edition is used.</w:t>
      </w:r>
    </w:p>
    <w:p w14:paraId="36F51BFB" w14:textId="77777777" w:rsidR="002525B7" w:rsidRPr="00ED7260" w:rsidRDefault="002525B7" w:rsidP="002525B7">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overflowPunct/>
        <w:autoSpaceDE/>
        <w:autoSpaceDN/>
        <w:adjustRightInd/>
        <w:spacing w:before="120" w:line="227" w:lineRule="exact"/>
        <w:contextualSpacing w:val="0"/>
        <w:jc w:val="both"/>
        <w:textAlignment w:val="auto"/>
        <w:rPr>
          <w:rFonts w:ascii="Arial" w:hAnsi="Arial" w:cs="Arial"/>
          <w:b/>
          <w:bCs/>
        </w:rPr>
      </w:pPr>
      <w:r w:rsidRPr="00ED7260">
        <w:rPr>
          <w:rFonts w:ascii="Arial" w:hAnsi="Arial" w:cs="Arial"/>
          <w:b/>
          <w:bCs/>
        </w:rPr>
        <w:t xml:space="preserve">Primary Coverage: </w:t>
      </w:r>
      <w:r w:rsidRPr="00ED7260">
        <w:rPr>
          <w:rFonts w:ascii="Arial" w:hAnsi="Arial" w:cs="Arial"/>
        </w:rPr>
        <w:t xml:space="preserve">For any claims related to this contract, the Consultant’s insurance coverage shall be primary coverage at least as broad as ISO CG 20 01 04 13 as respects AHA, its officers, officials, Board of Commissioners, employees, and volunteers. Any insurance or self-insurance maintained by AHA, its officers, officials, employees, or volunteers shall </w:t>
      </w:r>
      <w:proofErr w:type="gramStart"/>
      <w:r w:rsidRPr="00ED7260">
        <w:rPr>
          <w:rFonts w:ascii="Arial" w:hAnsi="Arial" w:cs="Arial"/>
        </w:rPr>
        <w:t>be</w:t>
      </w:r>
      <w:proofErr w:type="gramEnd"/>
      <w:r w:rsidRPr="00ED7260">
        <w:rPr>
          <w:rFonts w:ascii="Arial" w:hAnsi="Arial" w:cs="Arial"/>
        </w:rPr>
        <w:t xml:space="preserve"> excess of the Contractor’s insurance and shall not contribute to it.</w:t>
      </w:r>
    </w:p>
    <w:p w14:paraId="743F35FC" w14:textId="77777777" w:rsidR="002525B7" w:rsidRPr="00ED7260" w:rsidRDefault="002525B7" w:rsidP="002525B7">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overflowPunct/>
        <w:autoSpaceDE/>
        <w:autoSpaceDN/>
        <w:adjustRightInd/>
        <w:spacing w:before="120" w:line="227" w:lineRule="exact"/>
        <w:contextualSpacing w:val="0"/>
        <w:jc w:val="both"/>
        <w:textAlignment w:val="auto"/>
        <w:rPr>
          <w:rFonts w:ascii="Arial" w:hAnsi="Arial" w:cs="Arial"/>
        </w:rPr>
      </w:pPr>
      <w:r w:rsidRPr="00ED7260">
        <w:rPr>
          <w:rFonts w:ascii="Arial" w:hAnsi="Arial" w:cs="Arial"/>
          <w:b/>
          <w:bCs/>
        </w:rPr>
        <w:t xml:space="preserve">Notice of Cancellation: </w:t>
      </w:r>
      <w:r w:rsidRPr="00ED7260">
        <w:rPr>
          <w:rFonts w:ascii="Arial" w:hAnsi="Arial" w:cs="Arial"/>
        </w:rPr>
        <w:t xml:space="preserve">Each insurance policy required above shall provide that coverage shall not be canceled, except with </w:t>
      </w:r>
      <w:r>
        <w:rPr>
          <w:rFonts w:ascii="Arial" w:hAnsi="Arial" w:cs="Arial"/>
        </w:rPr>
        <w:t>30 days’</w:t>
      </w:r>
      <w:r w:rsidRPr="00ED7260">
        <w:rPr>
          <w:rFonts w:ascii="Arial" w:hAnsi="Arial" w:cs="Arial"/>
        </w:rPr>
        <w:t xml:space="preserve"> notice to AHA.</w:t>
      </w:r>
    </w:p>
    <w:p w14:paraId="38070187" w14:textId="77777777" w:rsidR="002525B7" w:rsidRPr="00ED7260" w:rsidRDefault="002525B7" w:rsidP="002525B7">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overflowPunct/>
        <w:autoSpaceDE/>
        <w:autoSpaceDN/>
        <w:adjustRightInd/>
        <w:spacing w:before="120" w:line="227" w:lineRule="exact"/>
        <w:contextualSpacing w:val="0"/>
        <w:jc w:val="both"/>
        <w:textAlignment w:val="auto"/>
        <w:rPr>
          <w:rFonts w:ascii="Arial" w:hAnsi="Arial" w:cs="Arial"/>
        </w:rPr>
      </w:pPr>
      <w:r w:rsidRPr="00ED7260">
        <w:rPr>
          <w:rFonts w:ascii="Arial" w:hAnsi="Arial" w:cs="Arial"/>
          <w:b/>
          <w:bCs/>
        </w:rPr>
        <w:t>Self-Insured Retentions:</w:t>
      </w:r>
      <w:r w:rsidRPr="00ED7260">
        <w:rPr>
          <w:rFonts w:ascii="Arial" w:hAnsi="Arial" w:cs="Arial"/>
        </w:rPr>
        <w:t xml:space="preserve"> Self-insured retentions must be declared and approved by AHA. AHA may require the Consultant to purchase coverage with a lower retention or provide proof of ability to pay losses and related investigations, claim administration, and defense expenses within the retention. The policy language shall provide, or be endorsed to provide, that the self-insured </w:t>
      </w:r>
      <w:r>
        <w:rPr>
          <w:rFonts w:ascii="Arial" w:hAnsi="Arial" w:cs="Arial"/>
        </w:rPr>
        <w:t xml:space="preserve">retention </w:t>
      </w:r>
      <w:r w:rsidRPr="00ED7260">
        <w:rPr>
          <w:rFonts w:ascii="Arial" w:hAnsi="Arial" w:cs="Arial"/>
        </w:rPr>
        <w:t>may be satisfied by either the named insured or AHA.</w:t>
      </w:r>
    </w:p>
    <w:p w14:paraId="7FD270FB" w14:textId="77777777" w:rsidR="002525B7" w:rsidRPr="00ED7260" w:rsidRDefault="002525B7" w:rsidP="002525B7">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overflowPunct/>
        <w:autoSpaceDE/>
        <w:autoSpaceDN/>
        <w:adjustRightInd/>
        <w:spacing w:before="120" w:line="227" w:lineRule="exact"/>
        <w:contextualSpacing w:val="0"/>
        <w:jc w:val="both"/>
        <w:textAlignment w:val="auto"/>
        <w:rPr>
          <w:rFonts w:ascii="Arial" w:hAnsi="Arial" w:cs="Arial"/>
        </w:rPr>
      </w:pPr>
      <w:r w:rsidRPr="00ED7260">
        <w:rPr>
          <w:rFonts w:ascii="Arial" w:hAnsi="Arial" w:cs="Arial"/>
          <w:b/>
          <w:bCs/>
        </w:rPr>
        <w:t>Acceptability of Insurers:</w:t>
      </w:r>
      <w:r w:rsidRPr="00ED7260">
        <w:rPr>
          <w:rFonts w:ascii="Arial" w:hAnsi="Arial" w:cs="Arial"/>
        </w:rPr>
        <w:t xml:space="preserve"> Insurance is to be placed with insurers with a current A.M. Best’s rating of no less than A: VII, unless otherwise acceptable to AHA.</w:t>
      </w:r>
    </w:p>
    <w:p w14:paraId="47453E53" w14:textId="77777777" w:rsidR="002525B7" w:rsidRPr="00913A9C" w:rsidRDefault="002525B7" w:rsidP="002525B7">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overflowPunct/>
        <w:autoSpaceDE/>
        <w:autoSpaceDN/>
        <w:adjustRightInd/>
        <w:spacing w:before="120" w:line="227" w:lineRule="exact"/>
        <w:contextualSpacing w:val="0"/>
        <w:jc w:val="both"/>
        <w:textAlignment w:val="auto"/>
        <w:rPr>
          <w:rFonts w:ascii="Arial" w:hAnsi="Arial" w:cs="Arial"/>
          <w:b/>
          <w:bCs/>
        </w:rPr>
      </w:pPr>
      <w:r w:rsidRPr="00ED7260">
        <w:rPr>
          <w:rFonts w:ascii="Arial" w:hAnsi="Arial" w:cs="Arial"/>
          <w:b/>
          <w:bCs/>
        </w:rPr>
        <w:t xml:space="preserve">Verification of Coverage: </w:t>
      </w:r>
      <w:r w:rsidRPr="00ED7260">
        <w:rPr>
          <w:rFonts w:ascii="Arial" w:hAnsi="Arial" w:cs="Arial"/>
        </w:rPr>
        <w:t>Consultant shall furnish AHA with original certificates and amendatory endorsements or copies of the applicable policy language effecting coverage required by this clause, and a copy of the Declarat</w:t>
      </w:r>
      <w:r>
        <w:rPr>
          <w:rFonts w:ascii="Arial" w:hAnsi="Arial" w:cs="Arial"/>
        </w:rPr>
        <w:t>i</w:t>
      </w:r>
      <w:r w:rsidRPr="00ED7260">
        <w:rPr>
          <w:rFonts w:ascii="Arial" w:hAnsi="Arial" w:cs="Arial"/>
        </w:rPr>
        <w:t xml:space="preserve">ons and Endorsement page of the CGL policy listing all policy endorsements before work begins. However, failure to obtain the required documents prior to the work beginning shall not waive the Consultant’s obligation to provide them. AHA reserves the right to require complete, certified copies of all required insurance policies, including endorsements required by these specifications, at any </w:t>
      </w:r>
      <w:bookmarkStart w:id="2" w:name="_Hlk72930309"/>
      <w:r w:rsidRPr="00ED7260">
        <w:rPr>
          <w:rFonts w:ascii="Arial" w:hAnsi="Arial" w:cs="Arial"/>
        </w:rPr>
        <w:t>time.</w:t>
      </w:r>
    </w:p>
    <w:p w14:paraId="4674DAC8" w14:textId="77777777" w:rsidR="002525B7" w:rsidRPr="00913A9C" w:rsidRDefault="002525B7" w:rsidP="002525B7">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overflowPunct/>
        <w:autoSpaceDE/>
        <w:autoSpaceDN/>
        <w:adjustRightInd/>
        <w:spacing w:before="120" w:line="227" w:lineRule="exact"/>
        <w:contextualSpacing w:val="0"/>
        <w:jc w:val="both"/>
        <w:textAlignment w:val="auto"/>
        <w:rPr>
          <w:rFonts w:ascii="Arial" w:hAnsi="Arial" w:cs="Arial"/>
          <w:b/>
          <w:bCs/>
        </w:rPr>
      </w:pPr>
      <w:r w:rsidRPr="00913A9C">
        <w:rPr>
          <w:rFonts w:ascii="Arial" w:hAnsi="Arial" w:cs="Arial"/>
          <w:b/>
          <w:bCs/>
          <w:spacing w:val="-3"/>
        </w:rPr>
        <w:t>Subcontractors</w:t>
      </w:r>
      <w:r>
        <w:rPr>
          <w:rFonts w:ascii="Arial" w:hAnsi="Arial" w:cs="Arial"/>
          <w:b/>
          <w:bCs/>
          <w:spacing w:val="-3"/>
        </w:rPr>
        <w:t xml:space="preserve">: </w:t>
      </w:r>
      <w:r w:rsidRPr="00913A9C">
        <w:rPr>
          <w:rFonts w:ascii="Arial" w:hAnsi="Arial" w:cs="Arial"/>
          <w:spacing w:val="-3"/>
        </w:rPr>
        <w:t>Consultant</w:t>
      </w:r>
      <w:r w:rsidRPr="00913A9C">
        <w:rPr>
          <w:rFonts w:ascii="Arial" w:hAnsi="Arial" w:cs="Arial"/>
        </w:rPr>
        <w:t xml:space="preserve"> shall pass down the insurance obligations contained herein to all tiers of subcontractors working under the contract.</w:t>
      </w:r>
    </w:p>
    <w:p w14:paraId="0BFA0253" w14:textId="77777777" w:rsidR="002525B7" w:rsidRPr="00913A9C" w:rsidRDefault="002525B7" w:rsidP="002525B7">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overflowPunct/>
        <w:autoSpaceDE/>
        <w:autoSpaceDN/>
        <w:adjustRightInd/>
        <w:spacing w:before="120" w:line="227" w:lineRule="exact"/>
        <w:contextualSpacing w:val="0"/>
        <w:jc w:val="both"/>
        <w:textAlignment w:val="auto"/>
        <w:rPr>
          <w:rFonts w:ascii="Arial" w:hAnsi="Arial" w:cs="Arial"/>
          <w:b/>
          <w:bCs/>
        </w:rPr>
      </w:pPr>
      <w:r w:rsidRPr="00913A9C">
        <w:rPr>
          <w:rFonts w:ascii="Arial" w:hAnsi="Arial" w:cs="Arial"/>
          <w:b/>
          <w:bCs/>
          <w:spacing w:val="-3"/>
        </w:rPr>
        <w:t>Notification of claims:</w:t>
      </w:r>
      <w:r w:rsidRPr="00913A9C">
        <w:rPr>
          <w:rFonts w:ascii="Arial" w:hAnsi="Arial" w:cs="Arial"/>
          <w:b/>
          <w:bCs/>
        </w:rPr>
        <w:t xml:space="preserve"> </w:t>
      </w:r>
      <w:r w:rsidRPr="00913A9C">
        <w:rPr>
          <w:rFonts w:ascii="Arial" w:hAnsi="Arial" w:cs="Arial"/>
          <w:bCs/>
          <w:kern w:val="28"/>
        </w:rPr>
        <w:t>The Proposer agrees to notify AHA in writing of any claim by a third party or any incident or event that may give rise to a claim arising from the performance of the</w:t>
      </w:r>
      <w:r w:rsidRPr="00913A9C">
        <w:rPr>
          <w:rFonts w:ascii="Arial" w:hAnsi="Arial" w:cs="Arial"/>
          <w:bCs/>
          <w:spacing w:val="-20"/>
          <w:kern w:val="28"/>
        </w:rPr>
        <w:t xml:space="preserve"> </w:t>
      </w:r>
      <w:r w:rsidRPr="00913A9C">
        <w:rPr>
          <w:rFonts w:ascii="Arial" w:hAnsi="Arial" w:cs="Arial"/>
          <w:bCs/>
          <w:kern w:val="28"/>
        </w:rPr>
        <w:t>contract</w:t>
      </w:r>
      <w:r w:rsidRPr="00ED7260">
        <w:rPr>
          <w:rFonts w:ascii="Arial" w:hAnsi="Arial" w:cs="Arial"/>
          <w:bCs/>
          <w:kern w:val="28"/>
          <w:szCs w:val="22"/>
        </w:rPr>
        <w:t xml:space="preserve"> </w:t>
      </w:r>
      <w:r>
        <w:rPr>
          <w:rFonts w:ascii="Arial" w:hAnsi="Arial" w:cs="Arial"/>
          <w:bCs/>
          <w:kern w:val="28"/>
          <w:szCs w:val="22"/>
        </w:rPr>
        <w:t xml:space="preserve">as soon as practicable, but no later than three (3) business days after their first knowledge of such claim or event. </w:t>
      </w:r>
    </w:p>
    <w:bookmarkEnd w:id="2"/>
    <w:p w14:paraId="1137F190" w14:textId="77777777" w:rsidR="002525B7" w:rsidRDefault="002525B7" w:rsidP="002525B7">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overflowPunct/>
        <w:autoSpaceDE/>
        <w:autoSpaceDN/>
        <w:adjustRightInd/>
        <w:spacing w:before="120" w:line="227" w:lineRule="exact"/>
        <w:contextualSpacing w:val="0"/>
        <w:jc w:val="both"/>
        <w:textAlignment w:val="auto"/>
        <w:rPr>
          <w:rFonts w:ascii="Arial" w:hAnsi="Arial" w:cs="Arial"/>
        </w:rPr>
      </w:pPr>
      <w:r w:rsidRPr="00ED7260">
        <w:rPr>
          <w:rFonts w:ascii="Arial" w:hAnsi="Arial" w:cs="Arial"/>
          <w:b/>
          <w:bCs/>
        </w:rPr>
        <w:t xml:space="preserve">Special Risks or Circumstance: </w:t>
      </w:r>
      <w:r w:rsidRPr="00ED7260">
        <w:rPr>
          <w:rFonts w:ascii="Arial" w:hAnsi="Arial" w:cs="Arial"/>
        </w:rPr>
        <w:t>AHA reserves the right to modify these requirements, including limits, based on the nature of the risk, prior experience, insurer, coverage, or other special circumstance.</w:t>
      </w:r>
    </w:p>
    <w:p w14:paraId="6E390099" w14:textId="4F11EFE6" w:rsidR="00EB7B21" w:rsidRPr="002525B7" w:rsidRDefault="00EB7B21" w:rsidP="002525B7">
      <w:pPr>
        <w:widowControl/>
        <w:overflowPunct/>
        <w:autoSpaceDE/>
        <w:autoSpaceDN/>
        <w:adjustRightInd/>
        <w:textAlignment w:val="auto"/>
        <w:rPr>
          <w:rFonts w:ascii="Arial" w:eastAsia="SimSun" w:hAnsi="Arial" w:cs="Arial"/>
          <w:szCs w:val="24"/>
          <w:lang w:eastAsia="zh-CN"/>
        </w:rPr>
      </w:pPr>
    </w:p>
    <w:sectPr w:rsidR="00EB7B21" w:rsidRPr="002525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C7858"/>
    <w:multiLevelType w:val="hybridMultilevel"/>
    <w:tmpl w:val="1764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3D7D7C"/>
    <w:multiLevelType w:val="hybridMultilevel"/>
    <w:tmpl w:val="A5923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1880973">
    <w:abstractNumId w:val="1"/>
  </w:num>
  <w:num w:numId="2" w16cid:durableId="1392194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5B7"/>
    <w:rsid w:val="00085004"/>
    <w:rsid w:val="002525B7"/>
    <w:rsid w:val="00EB7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0818A"/>
  <w15:chartTrackingRefBased/>
  <w15:docId w15:val="{1C688860-B9FF-48C6-9576-BCCFE9B36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5B7"/>
    <w:pPr>
      <w:widowControl w:val="0"/>
      <w:overflowPunct w:val="0"/>
      <w:autoSpaceDE w:val="0"/>
      <w:autoSpaceDN w:val="0"/>
      <w:adjustRightInd w:val="0"/>
      <w:spacing w:after="0" w:line="240" w:lineRule="auto"/>
      <w:textAlignment w:val="baseline"/>
    </w:pPr>
    <w:rPr>
      <w:rFonts w:ascii="Courier New" w:eastAsia="Times New Roman" w:hAnsi="Courier New" w:cs="Times New Roman"/>
      <w:kern w:val="0"/>
      <w:sz w:val="24"/>
      <w:szCs w:val="20"/>
      <w14:ligatures w14:val="none"/>
    </w:rPr>
  </w:style>
  <w:style w:type="paragraph" w:styleId="Heading1">
    <w:name w:val="heading 1"/>
    <w:basedOn w:val="Normal"/>
    <w:next w:val="Normal"/>
    <w:link w:val="Heading1Char"/>
    <w:uiPriority w:val="9"/>
    <w:qFormat/>
    <w:rsid w:val="002525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25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25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25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25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25B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25B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25B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25B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5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25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25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25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25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25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25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25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25B7"/>
    <w:rPr>
      <w:rFonts w:eastAsiaTheme="majorEastAsia" w:cstheme="majorBidi"/>
      <w:color w:val="272727" w:themeColor="text1" w:themeTint="D8"/>
    </w:rPr>
  </w:style>
  <w:style w:type="paragraph" w:styleId="Title">
    <w:name w:val="Title"/>
    <w:basedOn w:val="Normal"/>
    <w:next w:val="Normal"/>
    <w:link w:val="TitleChar"/>
    <w:uiPriority w:val="10"/>
    <w:qFormat/>
    <w:rsid w:val="002525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25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5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25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25B7"/>
    <w:pPr>
      <w:spacing w:before="160"/>
      <w:jc w:val="center"/>
    </w:pPr>
    <w:rPr>
      <w:i/>
      <w:iCs/>
      <w:color w:val="404040" w:themeColor="text1" w:themeTint="BF"/>
    </w:rPr>
  </w:style>
  <w:style w:type="character" w:customStyle="1" w:styleId="QuoteChar">
    <w:name w:val="Quote Char"/>
    <w:basedOn w:val="DefaultParagraphFont"/>
    <w:link w:val="Quote"/>
    <w:uiPriority w:val="29"/>
    <w:rsid w:val="002525B7"/>
    <w:rPr>
      <w:i/>
      <w:iCs/>
      <w:color w:val="404040" w:themeColor="text1" w:themeTint="BF"/>
    </w:rPr>
  </w:style>
  <w:style w:type="paragraph" w:styleId="ListParagraph">
    <w:name w:val="List Paragraph"/>
    <w:basedOn w:val="Normal"/>
    <w:uiPriority w:val="34"/>
    <w:qFormat/>
    <w:rsid w:val="002525B7"/>
    <w:pPr>
      <w:ind w:left="720"/>
      <w:contextualSpacing/>
    </w:pPr>
  </w:style>
  <w:style w:type="character" w:styleId="IntenseEmphasis">
    <w:name w:val="Intense Emphasis"/>
    <w:basedOn w:val="DefaultParagraphFont"/>
    <w:uiPriority w:val="21"/>
    <w:qFormat/>
    <w:rsid w:val="002525B7"/>
    <w:rPr>
      <w:i/>
      <w:iCs/>
      <w:color w:val="0F4761" w:themeColor="accent1" w:themeShade="BF"/>
    </w:rPr>
  </w:style>
  <w:style w:type="paragraph" w:styleId="IntenseQuote">
    <w:name w:val="Intense Quote"/>
    <w:basedOn w:val="Normal"/>
    <w:next w:val="Normal"/>
    <w:link w:val="IntenseQuoteChar"/>
    <w:uiPriority w:val="30"/>
    <w:qFormat/>
    <w:rsid w:val="002525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25B7"/>
    <w:rPr>
      <w:i/>
      <w:iCs/>
      <w:color w:val="0F4761" w:themeColor="accent1" w:themeShade="BF"/>
    </w:rPr>
  </w:style>
  <w:style w:type="character" w:styleId="IntenseReference">
    <w:name w:val="Intense Reference"/>
    <w:basedOn w:val="DefaultParagraphFont"/>
    <w:uiPriority w:val="32"/>
    <w:qFormat/>
    <w:rsid w:val="002525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1553</Words>
  <Characters>8858</Characters>
  <Application>Microsoft Office Word</Application>
  <DocSecurity>0</DocSecurity>
  <Lines>73</Lines>
  <Paragraphs>20</Paragraphs>
  <ScaleCrop>false</ScaleCrop>
  <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Radha Mehta</dc:creator>
  <cp:keywords/>
  <dc:description/>
  <cp:lastModifiedBy>Radha Mehta</cp:lastModifiedBy>
  <cp:revision>1</cp:revision>
  <dcterms:created xsi:type="dcterms:W3CDTF">2024-03-20T22:46:00Z</dcterms:created>
  <dcterms:modified xsi:type="dcterms:W3CDTF">2024-03-20T22:47:00Z</dcterms:modified>
</cp:coreProperties>
</file>